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3B8" w:rsidRDefault="00BC23B8" w:rsidP="00BC23B8">
      <w:pPr>
        <w:jc w:val="center"/>
        <w:rPr>
          <w:rFonts w:eastAsiaTheme="minorEastAsia"/>
          <w:b/>
          <w:spacing w:val="-4"/>
          <w:w w:val="98"/>
          <w:kern w:val="32"/>
          <w:sz w:val="26"/>
          <w:szCs w:val="26"/>
          <w:lang w:val="en-US" w:eastAsia="vi-VN"/>
        </w:rPr>
      </w:pPr>
      <w:r w:rsidRPr="00A9248A">
        <w:rPr>
          <w:rFonts w:eastAsiaTheme="minorEastAsia"/>
          <w:b/>
          <w:spacing w:val="-4"/>
          <w:w w:val="98"/>
          <w:kern w:val="32"/>
          <w:sz w:val="26"/>
          <w:szCs w:val="26"/>
          <w:lang w:eastAsia="vi-VN"/>
        </w:rPr>
        <w:t xml:space="preserve">HỆ THỐNG EGR: TỪ NGUYÊN LÝ CƠ BẢN ĐẾN ỨNG DỤNG </w:t>
      </w:r>
      <w:r>
        <w:rPr>
          <w:rFonts w:eastAsiaTheme="minorEastAsia"/>
          <w:b/>
          <w:spacing w:val="-4"/>
          <w:w w:val="98"/>
          <w:kern w:val="32"/>
          <w:sz w:val="26"/>
          <w:szCs w:val="26"/>
          <w:lang w:eastAsia="vi-VN"/>
        </w:rPr>
        <w:br/>
      </w:r>
      <w:r w:rsidRPr="00A9248A">
        <w:rPr>
          <w:rFonts w:eastAsiaTheme="minorEastAsia"/>
          <w:b/>
          <w:spacing w:val="-4"/>
          <w:w w:val="98"/>
          <w:kern w:val="32"/>
          <w:sz w:val="26"/>
          <w:szCs w:val="26"/>
          <w:lang w:eastAsia="vi-VN"/>
        </w:rPr>
        <w:t>THỰC TIỄN TRÊN Ô TÔ</w:t>
      </w:r>
    </w:p>
    <w:p w:rsidR="00BC23B8" w:rsidRPr="00FC427B" w:rsidRDefault="00BC23B8" w:rsidP="00BC23B8">
      <w:pPr>
        <w:jc w:val="center"/>
        <w:rPr>
          <w:rFonts w:eastAsiaTheme="minorEastAsia"/>
          <w:b/>
          <w:spacing w:val="-4"/>
          <w:w w:val="98"/>
          <w:kern w:val="32"/>
          <w:sz w:val="26"/>
          <w:szCs w:val="26"/>
          <w:lang w:val="en-US" w:eastAsia="vi-VN"/>
        </w:rPr>
      </w:pPr>
    </w:p>
    <w:p w:rsidR="00BC23B8" w:rsidRDefault="00BC23B8" w:rsidP="00BC23B8">
      <w:pPr>
        <w:jc w:val="center"/>
        <w:rPr>
          <w:sz w:val="26"/>
          <w:szCs w:val="26"/>
          <w:lang w:val="en-US"/>
        </w:rPr>
      </w:pPr>
      <w:r w:rsidRPr="00D30299">
        <w:rPr>
          <w:sz w:val="26"/>
          <w:szCs w:val="26"/>
        </w:rPr>
        <w:t xml:space="preserve">EGR SYSTEMS: FROM FUNDAMENTAL PRINCIPLES TO </w:t>
      </w:r>
      <w:r w:rsidRPr="00D30299">
        <w:rPr>
          <w:sz w:val="26"/>
          <w:szCs w:val="26"/>
        </w:rPr>
        <w:br/>
      </w:r>
      <w:bookmarkStart w:id="0" w:name="_GoBack"/>
      <w:bookmarkEnd w:id="0"/>
      <w:r w:rsidRPr="00D30299">
        <w:rPr>
          <w:sz w:val="26"/>
          <w:szCs w:val="26"/>
        </w:rPr>
        <w:t>PRACTICAL AUTOMOTIVE APPLICATIONS</w:t>
      </w:r>
    </w:p>
    <w:p w:rsidR="00BC23B8" w:rsidRPr="00FC427B" w:rsidRDefault="00BC23B8" w:rsidP="00BC23B8">
      <w:pPr>
        <w:jc w:val="center"/>
        <w:rPr>
          <w:sz w:val="26"/>
          <w:szCs w:val="26"/>
          <w:lang w:val="en-US"/>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BC23B8" w:rsidRPr="00974357" w:rsidTr="00750010">
        <w:tc>
          <w:tcPr>
            <w:tcW w:w="2552" w:type="dxa"/>
            <w:vAlign w:val="center"/>
          </w:tcPr>
          <w:p w:rsidR="00BC23B8" w:rsidRDefault="00BC23B8" w:rsidP="00750010">
            <w:pPr>
              <w:spacing w:before="40"/>
              <w:rPr>
                <w:b/>
                <w:spacing w:val="-4"/>
                <w:w w:val="98"/>
                <w:szCs w:val="26"/>
              </w:rPr>
            </w:pPr>
            <w:r>
              <w:rPr>
                <w:b/>
                <w:spacing w:val="-4"/>
                <w:w w:val="98"/>
                <w:szCs w:val="26"/>
              </w:rPr>
              <w:t>Nguyễn Thành Đức</w:t>
            </w:r>
            <w:r w:rsidRPr="00974357">
              <w:rPr>
                <w:b/>
                <w:spacing w:val="-4"/>
                <w:w w:val="98"/>
                <w:szCs w:val="26"/>
                <w:vertAlign w:val="superscript"/>
              </w:rPr>
              <w:t>1</w:t>
            </w:r>
            <w:r w:rsidRPr="00974357">
              <w:rPr>
                <w:b/>
                <w:spacing w:val="-4"/>
                <w:w w:val="98"/>
                <w:szCs w:val="26"/>
              </w:rPr>
              <w:t xml:space="preserve"> </w:t>
            </w:r>
          </w:p>
          <w:p w:rsidR="00BC23B8" w:rsidRPr="005557A7" w:rsidRDefault="00BC23B8" w:rsidP="00750010">
            <w:pPr>
              <w:spacing w:before="40"/>
              <w:rPr>
                <w:b/>
                <w:spacing w:val="-4"/>
                <w:w w:val="98"/>
                <w:szCs w:val="26"/>
                <w:vertAlign w:val="superscript"/>
              </w:rPr>
            </w:pPr>
            <w:r>
              <w:rPr>
                <w:b/>
                <w:spacing w:val="-4"/>
                <w:w w:val="98"/>
                <w:szCs w:val="26"/>
              </w:rPr>
              <w:t>Phan Anh Tuấn Kiệt</w:t>
            </w:r>
            <w:r>
              <w:rPr>
                <w:b/>
                <w:spacing w:val="-4"/>
                <w:w w:val="98"/>
                <w:szCs w:val="26"/>
                <w:vertAlign w:val="superscript"/>
              </w:rPr>
              <w:t>1</w:t>
            </w:r>
          </w:p>
        </w:tc>
        <w:tc>
          <w:tcPr>
            <w:tcW w:w="281" w:type="dxa"/>
            <w:vMerge w:val="restart"/>
            <w:vAlign w:val="center"/>
          </w:tcPr>
          <w:p w:rsidR="00BC23B8" w:rsidRPr="00974357" w:rsidRDefault="00BC23B8" w:rsidP="00750010">
            <w:pPr>
              <w:spacing w:before="40"/>
              <w:jc w:val="both"/>
              <w:rPr>
                <w:spacing w:val="-4"/>
                <w:w w:val="98"/>
                <w:szCs w:val="26"/>
              </w:rPr>
            </w:pPr>
          </w:p>
        </w:tc>
        <w:tc>
          <w:tcPr>
            <w:tcW w:w="6239" w:type="dxa"/>
            <w:vAlign w:val="center"/>
          </w:tcPr>
          <w:p w:rsidR="00BC23B8" w:rsidRPr="00974357" w:rsidRDefault="00BC23B8" w:rsidP="00750010">
            <w:pPr>
              <w:spacing w:before="40"/>
              <w:jc w:val="both"/>
              <w:rPr>
                <w:spacing w:val="-4"/>
                <w:w w:val="98"/>
                <w:szCs w:val="26"/>
              </w:rPr>
            </w:pPr>
            <w:r w:rsidRPr="00974357">
              <w:rPr>
                <w:spacing w:val="-4"/>
                <w:w w:val="98"/>
                <w:szCs w:val="26"/>
                <w:vertAlign w:val="superscript"/>
              </w:rPr>
              <w:t>1</w:t>
            </w:r>
            <w:r w:rsidRPr="00974357">
              <w:rPr>
                <w:spacing w:val="-4"/>
                <w:w w:val="98"/>
                <w:szCs w:val="26"/>
              </w:rPr>
              <w:t xml:space="preserve">Trường Cao đẳng Lý Tự Trọng TP. HCM </w:t>
            </w:r>
          </w:p>
          <w:p w:rsidR="00BC23B8" w:rsidRPr="00974357" w:rsidRDefault="00BC23B8" w:rsidP="00750010">
            <w:pPr>
              <w:spacing w:before="40"/>
              <w:jc w:val="both"/>
              <w:rPr>
                <w:i/>
                <w:spacing w:val="-4"/>
                <w:w w:val="98"/>
                <w:szCs w:val="26"/>
              </w:rPr>
            </w:pPr>
            <w:r w:rsidRPr="00974357">
              <w:rPr>
                <w:i/>
                <w:spacing w:val="-4"/>
                <w:w w:val="98"/>
                <w:szCs w:val="26"/>
              </w:rPr>
              <w:t xml:space="preserve">Email: </w:t>
            </w:r>
            <w:r>
              <w:rPr>
                <w:i/>
                <w:spacing w:val="-4"/>
                <w:w w:val="98"/>
                <w:szCs w:val="26"/>
              </w:rPr>
              <w:t>nguyenthanhduc@ltc.edu.vn</w:t>
            </w:r>
          </w:p>
        </w:tc>
      </w:tr>
      <w:tr w:rsidR="00BC23B8" w:rsidRPr="00974357" w:rsidTr="00750010">
        <w:tc>
          <w:tcPr>
            <w:tcW w:w="2552" w:type="dxa"/>
            <w:vAlign w:val="center"/>
          </w:tcPr>
          <w:p w:rsidR="00BC23B8" w:rsidRPr="00974357" w:rsidRDefault="00BC23B8" w:rsidP="00750010">
            <w:pPr>
              <w:ind w:left="29"/>
              <w:jc w:val="both"/>
              <w:rPr>
                <w:i/>
                <w:spacing w:val="-4"/>
                <w:w w:val="98"/>
                <w:szCs w:val="26"/>
              </w:rPr>
            </w:pPr>
          </w:p>
        </w:tc>
        <w:tc>
          <w:tcPr>
            <w:tcW w:w="281" w:type="dxa"/>
            <w:vMerge/>
            <w:vAlign w:val="center"/>
          </w:tcPr>
          <w:p w:rsidR="00BC23B8" w:rsidRPr="00974357" w:rsidRDefault="00BC23B8" w:rsidP="00750010">
            <w:pPr>
              <w:spacing w:before="40"/>
              <w:jc w:val="both"/>
              <w:rPr>
                <w:spacing w:val="-4"/>
                <w:w w:val="98"/>
                <w:szCs w:val="26"/>
              </w:rPr>
            </w:pPr>
          </w:p>
        </w:tc>
        <w:tc>
          <w:tcPr>
            <w:tcW w:w="6239" w:type="dxa"/>
            <w:vAlign w:val="center"/>
          </w:tcPr>
          <w:p w:rsidR="00BC23B8" w:rsidRPr="00974357" w:rsidRDefault="00BC23B8" w:rsidP="00750010">
            <w:pPr>
              <w:spacing w:before="40"/>
              <w:jc w:val="both"/>
              <w:rPr>
                <w:spacing w:val="-4"/>
                <w:w w:val="98"/>
                <w:szCs w:val="26"/>
              </w:rPr>
            </w:pPr>
          </w:p>
        </w:tc>
      </w:tr>
      <w:tr w:rsidR="00BC23B8" w:rsidRPr="00974357" w:rsidTr="00750010">
        <w:trPr>
          <w:trHeight w:val="198"/>
        </w:trPr>
        <w:tc>
          <w:tcPr>
            <w:tcW w:w="2552" w:type="dxa"/>
            <w:shd w:val="clear" w:color="auto" w:fill="FFFFFF" w:themeFill="background1"/>
          </w:tcPr>
          <w:p w:rsidR="00BC23B8" w:rsidRPr="00974357" w:rsidRDefault="00BC23B8" w:rsidP="00750010">
            <w:pPr>
              <w:jc w:val="both"/>
              <w:rPr>
                <w:b/>
                <w:spacing w:val="-4"/>
                <w:w w:val="98"/>
                <w:szCs w:val="26"/>
              </w:rPr>
            </w:pPr>
            <w:r>
              <w:rPr>
                <w:rFonts w:eastAsiaTheme="minorEastAsia" w:cstheme="majorHAnsi"/>
                <w:b/>
                <w:bCs/>
                <w:spacing w:val="-4"/>
                <w:w w:val="98"/>
                <w:szCs w:val="21"/>
              </w:rPr>
              <w:t>Từ khóa</w:t>
            </w:r>
            <w:r w:rsidRPr="00974357">
              <w:rPr>
                <w:rFonts w:eastAsiaTheme="minorEastAsia" w:cstheme="majorHAnsi"/>
                <w:b/>
                <w:bCs/>
                <w:spacing w:val="-4"/>
                <w:w w:val="98"/>
                <w:szCs w:val="21"/>
              </w:rPr>
              <w:t>:</w:t>
            </w:r>
          </w:p>
        </w:tc>
        <w:tc>
          <w:tcPr>
            <w:tcW w:w="281" w:type="dxa"/>
            <w:vMerge/>
            <w:tcBorders>
              <w:right w:val="single" w:sz="18" w:space="0" w:color="404040" w:themeColor="text1" w:themeTint="BF"/>
            </w:tcBorders>
            <w:shd w:val="clear" w:color="auto" w:fill="FFFFFF" w:themeFill="background1"/>
            <w:vAlign w:val="center"/>
          </w:tcPr>
          <w:p w:rsidR="00BC23B8" w:rsidRPr="00974357" w:rsidRDefault="00BC23B8" w:rsidP="00750010">
            <w:pPr>
              <w:spacing w:before="40"/>
              <w:rPr>
                <w:b/>
                <w:spacing w:val="-4"/>
                <w:w w:val="98"/>
                <w:szCs w:val="26"/>
              </w:rPr>
            </w:pPr>
          </w:p>
        </w:tc>
        <w:tc>
          <w:tcPr>
            <w:tcW w:w="6239" w:type="dxa"/>
            <w:tcBorders>
              <w:left w:val="single" w:sz="18" w:space="0" w:color="404040" w:themeColor="text1" w:themeTint="BF"/>
            </w:tcBorders>
            <w:shd w:val="clear" w:color="auto" w:fill="D0CECE" w:themeFill="background2" w:themeFillShade="E6"/>
            <w:vAlign w:val="center"/>
          </w:tcPr>
          <w:p w:rsidR="00BC23B8" w:rsidRPr="00974357" w:rsidRDefault="00BC23B8" w:rsidP="00750010">
            <w:pPr>
              <w:spacing w:before="40"/>
              <w:rPr>
                <w:b/>
                <w:spacing w:val="-4"/>
                <w:w w:val="98"/>
                <w:szCs w:val="26"/>
              </w:rPr>
            </w:pPr>
            <w:r w:rsidRPr="00974357">
              <w:rPr>
                <w:b/>
                <w:spacing w:val="-4"/>
                <w:w w:val="98"/>
                <w:szCs w:val="26"/>
              </w:rPr>
              <w:t>TÓM TẮT:</w:t>
            </w:r>
          </w:p>
        </w:tc>
      </w:tr>
      <w:tr w:rsidR="00BC23B8" w:rsidRPr="00974357" w:rsidTr="00750010">
        <w:trPr>
          <w:trHeight w:val="854"/>
        </w:trPr>
        <w:tc>
          <w:tcPr>
            <w:tcW w:w="2552" w:type="dxa"/>
          </w:tcPr>
          <w:p w:rsidR="00BC23B8" w:rsidRDefault="00BC23B8" w:rsidP="00750010">
            <w:pPr>
              <w:spacing w:before="40"/>
              <w:ind w:left="28"/>
              <w:jc w:val="both"/>
              <w:rPr>
                <w:spacing w:val="-4"/>
                <w:w w:val="98"/>
                <w:szCs w:val="26"/>
              </w:rPr>
            </w:pPr>
            <w:r w:rsidRPr="00321C1F">
              <w:rPr>
                <w:rFonts w:eastAsiaTheme="minorEastAsia" w:cstheme="majorHAnsi"/>
                <w:bCs/>
                <w:spacing w:val="-4"/>
                <w:w w:val="98"/>
                <w:szCs w:val="21"/>
              </w:rPr>
              <w:t>Luân hồi khí xả, EGR, Oxit Nitơ (NOx), Khí thải động cơ, Hiệu suất động cơ, Kiểm soát khí thải.</w:t>
            </w: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p>
          <w:p w:rsidR="00BC23B8" w:rsidRDefault="00BC23B8" w:rsidP="00750010">
            <w:pPr>
              <w:spacing w:before="40"/>
              <w:ind w:left="28"/>
              <w:jc w:val="both"/>
              <w:rPr>
                <w:spacing w:val="-4"/>
                <w:w w:val="98"/>
                <w:szCs w:val="26"/>
              </w:rPr>
            </w:pPr>
            <w:r w:rsidRPr="00974357">
              <w:rPr>
                <w:rFonts w:eastAsiaTheme="minorEastAsia" w:cstheme="majorHAnsi"/>
                <w:b/>
                <w:bCs/>
                <w:spacing w:val="-4"/>
                <w:w w:val="98"/>
                <w:szCs w:val="21"/>
              </w:rPr>
              <w:t>Keywords:</w:t>
            </w:r>
          </w:p>
          <w:p w:rsidR="00BC23B8" w:rsidRPr="00974357" w:rsidRDefault="00BC23B8" w:rsidP="00750010">
            <w:pPr>
              <w:spacing w:before="40"/>
              <w:ind w:left="28"/>
              <w:jc w:val="both"/>
              <w:rPr>
                <w:spacing w:val="-4"/>
                <w:w w:val="98"/>
                <w:szCs w:val="26"/>
              </w:rPr>
            </w:pPr>
            <w:r w:rsidRPr="00321C1F">
              <w:rPr>
                <w:spacing w:val="-4"/>
                <w:w w:val="98"/>
                <w:szCs w:val="26"/>
              </w:rPr>
              <w:t>Exhaust Gas Recirculation, EGR, Nitrogen Oxides (NOx), Engine Emissions, Engine Performance, Emission Control.</w:t>
            </w:r>
          </w:p>
        </w:tc>
        <w:tc>
          <w:tcPr>
            <w:tcW w:w="281" w:type="dxa"/>
            <w:vMerge/>
            <w:tcBorders>
              <w:right w:val="single" w:sz="18" w:space="0" w:color="404040" w:themeColor="text1" w:themeTint="BF"/>
            </w:tcBorders>
            <w:shd w:val="clear" w:color="auto" w:fill="FFFFFF" w:themeFill="background1"/>
            <w:vAlign w:val="center"/>
          </w:tcPr>
          <w:p w:rsidR="00BC23B8" w:rsidRPr="00974357" w:rsidRDefault="00BC23B8" w:rsidP="00750010">
            <w:pPr>
              <w:spacing w:before="40"/>
              <w:jc w:val="center"/>
              <w:rPr>
                <w:b/>
                <w:spacing w:val="-4"/>
                <w:w w:val="98"/>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BC23B8" w:rsidRPr="004243CA" w:rsidRDefault="00BC23B8" w:rsidP="00750010">
            <w:pPr>
              <w:spacing w:before="40"/>
              <w:jc w:val="both"/>
              <w:rPr>
                <w:szCs w:val="21"/>
              </w:rPr>
            </w:pPr>
            <w:r w:rsidRPr="0011168B">
              <w:rPr>
                <w:b/>
                <w:bCs/>
                <w:szCs w:val="21"/>
              </w:rPr>
              <w:t>Bối cảnh:</w:t>
            </w:r>
            <w:r w:rsidRPr="004243CA">
              <w:rPr>
                <w:szCs w:val="21"/>
              </w:rPr>
              <w:t xml:space="preserve"> Nghịch lý cố hữu của động cơ đốt trong hiện đại là các giải pháp nâng cao hiệu suất nhiệt thường làm gia tăng phát thải oxit nitơ (NOx). Công nghệ Luân hồi Khí xả (EGR) ra đời như một giải pháp kỹ thuật then chốt để phá vỡ sự đánh đổi này, đáp ứng các tiêu chuẩn khí thải ngày càng nghiêm ngặt.</w:t>
            </w:r>
          </w:p>
          <w:p w:rsidR="00BC23B8" w:rsidRPr="004243CA" w:rsidRDefault="00BC23B8" w:rsidP="00750010">
            <w:pPr>
              <w:spacing w:before="40"/>
              <w:jc w:val="both"/>
              <w:rPr>
                <w:szCs w:val="21"/>
              </w:rPr>
            </w:pPr>
            <w:r w:rsidRPr="0011168B">
              <w:rPr>
                <w:b/>
                <w:bCs/>
                <w:szCs w:val="21"/>
              </w:rPr>
              <w:t>Kết quả:</w:t>
            </w:r>
            <w:r w:rsidRPr="004243CA">
              <w:rPr>
                <w:szCs w:val="21"/>
              </w:rPr>
              <w:t xml:space="preserve"> Bài báo này xây dựng một khung phân tích toàn diện để so sánh hiệu quả của các kiến trúc EGR (áp suất cao, áp suất thấp, và hệ thống lai) dựa trên ba tiêu chí: hiệu quả giảm NOx, tác động đến sự hình thành muội than (PM), và độ phức tạp của hệ thống điều khiển. Nghiên cứu đi sâu vào việc đánh giá các thách thức kỹ thuật cốt lõi như quản lý nhiệt độ khí nạp, vấn đề ăn mòn và độ bền của bộ làm mát EGR.</w:t>
            </w:r>
          </w:p>
          <w:p w:rsidR="00BC23B8" w:rsidRDefault="00BC23B8" w:rsidP="00750010">
            <w:pPr>
              <w:spacing w:before="40"/>
              <w:jc w:val="both"/>
              <w:rPr>
                <w:szCs w:val="21"/>
              </w:rPr>
            </w:pPr>
            <w:r w:rsidRPr="0011168B">
              <w:rPr>
                <w:b/>
                <w:bCs/>
                <w:szCs w:val="21"/>
              </w:rPr>
              <w:t>Bàn luận:</w:t>
            </w:r>
            <w:r w:rsidRPr="004243CA">
              <w:rPr>
                <w:szCs w:val="21"/>
              </w:rPr>
              <w:t xml:space="preserve"> Thông qua việc tổng hợp các giải pháp thực tiễn từ các nhà sản xuất ô tô hàng đầu, bài báo tổng kết các chiến lược điều khiển EGR thông minh và các xu hướng công nghệ tương lai như EGR điện hóa (e-EGR). Luận điểm cốt lõi được khẳng định: EGR không chỉ là một công nghệ xử lý khí thải, mà là một thành phần không thể thiếu trong chiến lược tối ưu hóa hiệu suất và phát thải cho động cơ đốt trong trong kỷ nguyên xe Hybrid và các ứng dụng vận tải hạng nặng.</w:t>
            </w:r>
          </w:p>
          <w:p w:rsidR="00BC23B8" w:rsidRPr="00974357" w:rsidRDefault="00BC23B8" w:rsidP="00750010">
            <w:pPr>
              <w:spacing w:before="40"/>
              <w:jc w:val="both"/>
              <w:rPr>
                <w:b/>
                <w:spacing w:val="-4"/>
                <w:w w:val="98"/>
                <w:szCs w:val="26"/>
              </w:rPr>
            </w:pPr>
            <w:r w:rsidRPr="00974357">
              <w:rPr>
                <w:b/>
                <w:spacing w:val="-4"/>
                <w:w w:val="98"/>
                <w:szCs w:val="26"/>
              </w:rPr>
              <w:t>ABSTRACT:</w:t>
            </w:r>
          </w:p>
          <w:p w:rsidR="00BC23B8" w:rsidRPr="004243CA" w:rsidRDefault="00BC23B8" w:rsidP="00750010">
            <w:pPr>
              <w:rPr>
                <w:bCs/>
                <w:spacing w:val="-4"/>
                <w:w w:val="98"/>
                <w:szCs w:val="26"/>
              </w:rPr>
            </w:pPr>
            <w:r w:rsidRPr="0011168B">
              <w:rPr>
                <w:b/>
                <w:spacing w:val="-4"/>
                <w:w w:val="98"/>
                <w:szCs w:val="26"/>
              </w:rPr>
              <w:t>Context:</w:t>
            </w:r>
            <w:r w:rsidRPr="004243CA">
              <w:rPr>
                <w:bCs/>
                <w:spacing w:val="-4"/>
                <w:w w:val="98"/>
                <w:szCs w:val="26"/>
              </w:rPr>
              <w:t xml:space="preserve"> The inherent paradox of modern internal combustion engines is that solutions aimed at improving thermal efficiency often lead to an increase in nitrogen oxide (NOx) emissions. Exhaust Gas Recirculation (EGR) technology emerges as a key engineering solution to break this trade-off, enabling compliance with increasingly stringent emissions standards.</w:t>
            </w:r>
          </w:p>
          <w:p w:rsidR="00BC23B8" w:rsidRPr="004243CA" w:rsidRDefault="00BC23B8" w:rsidP="00750010">
            <w:pPr>
              <w:rPr>
                <w:bCs/>
                <w:spacing w:val="-4"/>
                <w:w w:val="98"/>
                <w:szCs w:val="26"/>
              </w:rPr>
            </w:pPr>
            <w:r w:rsidRPr="0011168B">
              <w:rPr>
                <w:b/>
                <w:spacing w:val="-4"/>
                <w:w w:val="98"/>
                <w:szCs w:val="26"/>
              </w:rPr>
              <w:t>Result:</w:t>
            </w:r>
            <w:r w:rsidRPr="0011168B">
              <w:rPr>
                <w:bCs/>
                <w:spacing w:val="-4"/>
                <w:w w:val="98"/>
                <w:szCs w:val="26"/>
              </w:rPr>
              <w:t xml:space="preserve"> </w:t>
            </w:r>
            <w:r w:rsidRPr="004243CA">
              <w:rPr>
                <w:bCs/>
                <w:spacing w:val="-4"/>
                <w:w w:val="98"/>
                <w:szCs w:val="26"/>
              </w:rPr>
              <w:t>This paper establishes a comprehensive analytical framework to compare the effectiveness of various EGR architectures (high-pressure, low-pressure, and hybrid systems) based on three criteria: NOx reduction efficiency, impact on particulate matter (PM) formation, and control system complexity. The research delves into evaluating core technical challenges such as intake air temperature management, corrosion issues, and EGR cooler durability.</w:t>
            </w:r>
          </w:p>
          <w:p w:rsidR="00BC23B8" w:rsidRPr="00E21087" w:rsidRDefault="00BC23B8" w:rsidP="00750010">
            <w:pPr>
              <w:spacing w:before="40"/>
              <w:jc w:val="both"/>
              <w:rPr>
                <w:bCs/>
                <w:spacing w:val="-4"/>
                <w:w w:val="98"/>
                <w:szCs w:val="26"/>
              </w:rPr>
            </w:pPr>
            <w:r w:rsidRPr="0011168B">
              <w:rPr>
                <w:b/>
                <w:spacing w:val="-4"/>
                <w:w w:val="98"/>
                <w:szCs w:val="26"/>
              </w:rPr>
              <w:t>Contribution:</w:t>
            </w:r>
            <w:r w:rsidRPr="004243CA">
              <w:rPr>
                <w:bCs/>
                <w:spacing w:val="-4"/>
                <w:w w:val="98"/>
                <w:szCs w:val="26"/>
              </w:rPr>
              <w:t xml:space="preserve"> By synthesizing practical solutions from leading automobile manufacturers, this paper consolidates intelligent EGR control strategies and future technology trends like electrified EGR (e-EGR). The core argument is affirmed: EGR is not merely an emission control technology but an indispensable component in the strategy to optimize the performance and emissions of internal combustion engines in the era of Hybrid vehicles and heavy-duty transport applications.</w:t>
            </w:r>
          </w:p>
        </w:tc>
      </w:tr>
      <w:tr w:rsidR="00BC23B8" w:rsidRPr="00974357" w:rsidTr="00750010">
        <w:trPr>
          <w:trHeight w:val="263"/>
        </w:trPr>
        <w:tc>
          <w:tcPr>
            <w:tcW w:w="2552" w:type="dxa"/>
            <w:shd w:val="clear" w:color="auto" w:fill="FFFFFF" w:themeFill="background1"/>
          </w:tcPr>
          <w:p w:rsidR="00BC23B8" w:rsidRPr="00974357" w:rsidRDefault="00BC23B8" w:rsidP="00750010">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rsidR="00BC23B8" w:rsidRPr="00974357" w:rsidRDefault="00BC23B8" w:rsidP="00750010">
            <w:pPr>
              <w:spacing w:before="40"/>
              <w:jc w:val="center"/>
              <w:rPr>
                <w:b/>
                <w:spacing w:val="-4"/>
                <w:w w:val="98"/>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BC23B8" w:rsidRPr="00974357" w:rsidRDefault="00BC23B8" w:rsidP="00750010">
            <w:pPr>
              <w:spacing w:before="40"/>
              <w:jc w:val="both"/>
              <w:rPr>
                <w:spacing w:val="-4"/>
                <w:w w:val="98"/>
                <w:szCs w:val="26"/>
              </w:rPr>
            </w:pPr>
          </w:p>
        </w:tc>
      </w:tr>
      <w:tr w:rsidR="00BC23B8" w:rsidRPr="00974357" w:rsidTr="00750010">
        <w:trPr>
          <w:trHeight w:val="706"/>
        </w:trPr>
        <w:tc>
          <w:tcPr>
            <w:tcW w:w="2552" w:type="dxa"/>
          </w:tcPr>
          <w:p w:rsidR="00BC23B8" w:rsidRPr="00974357" w:rsidRDefault="00BC23B8" w:rsidP="00750010">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rsidR="00BC23B8" w:rsidRPr="00974357" w:rsidRDefault="00BC23B8" w:rsidP="00750010">
            <w:pPr>
              <w:spacing w:before="40"/>
              <w:jc w:val="center"/>
              <w:rPr>
                <w:b/>
                <w:spacing w:val="-4"/>
                <w:w w:val="98"/>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BC23B8" w:rsidRPr="00974357" w:rsidRDefault="00BC23B8" w:rsidP="00750010">
            <w:pPr>
              <w:spacing w:before="40"/>
              <w:jc w:val="both"/>
              <w:rPr>
                <w:spacing w:val="-4"/>
                <w:w w:val="98"/>
                <w:szCs w:val="26"/>
              </w:rPr>
            </w:pPr>
          </w:p>
        </w:tc>
      </w:tr>
    </w:tbl>
    <w:p w:rsidR="00BC23B8" w:rsidRDefault="00BC23B8" w:rsidP="00BC23B8">
      <w:pPr>
        <w:pStyle w:val="ListParagraph"/>
        <w:ind w:left="0" w:firstLine="284"/>
        <w:rPr>
          <w:b/>
          <w:szCs w:val="21"/>
        </w:rPr>
      </w:pPr>
    </w:p>
    <w:p w:rsidR="00BC23B8" w:rsidRPr="00DF0476" w:rsidRDefault="00BC23B8" w:rsidP="00BC23B8"/>
    <w:p w:rsidR="00BC23B8" w:rsidRDefault="00BC23B8" w:rsidP="00BC23B8">
      <w:pPr>
        <w:rPr>
          <w:lang w:val="en-US"/>
        </w:rPr>
      </w:pPr>
    </w:p>
    <w:p w:rsidR="00BC23B8" w:rsidRPr="00022AB0" w:rsidRDefault="00BC23B8" w:rsidP="00BC23B8">
      <w:pPr>
        <w:pStyle w:val="ListParagraph"/>
        <w:widowControl/>
        <w:numPr>
          <w:ilvl w:val="0"/>
          <w:numId w:val="1"/>
        </w:numPr>
        <w:autoSpaceDE/>
        <w:autoSpaceDN/>
        <w:ind w:left="1364" w:hanging="655"/>
        <w:contextualSpacing/>
        <w:rPr>
          <w:b/>
          <w:bCs/>
          <w:szCs w:val="21"/>
        </w:rPr>
      </w:pPr>
      <w:r w:rsidRPr="00022AB0">
        <w:rPr>
          <w:b/>
          <w:bCs/>
          <w:szCs w:val="21"/>
        </w:rPr>
        <w:t>Giới thiệu</w:t>
      </w:r>
    </w:p>
    <w:p w:rsidR="00BC23B8" w:rsidRPr="003E4D00" w:rsidRDefault="00BC23B8" w:rsidP="00BC23B8">
      <w:pPr>
        <w:pStyle w:val="ListParagraph"/>
        <w:ind w:firstLine="284"/>
        <w:rPr>
          <w:szCs w:val="21"/>
        </w:rPr>
      </w:pPr>
      <w:r w:rsidRPr="003E4D00">
        <w:rPr>
          <w:szCs w:val="21"/>
        </w:rPr>
        <w:lastRenderedPageBreak/>
        <w:t>Ngành công nghiệp ô tô toàn cầu đang trong một giai đoạn chuyển đổi sâu sắc và mang tính lịch sử, đối mặt với áp lực kép từ việc đáp ứng nhu cầu di chuyển ngày càng tăng của xã hội và đồng thời phải tuân thủ các quy định về bảo vệ môi trường ngày càng khắt khe trên toàn thế giới (Ủy ban Châu Âu, 2019). Mặc dù xu hướng điện hóa đang diễn ra mạnh mẽ với sự trỗi dậy của xe điện pin (BEV) và xe hybrid cắm sạc (PHEV), động cơ đốt trong (Internal Combustion Engine - ICE) được dự báo sẽ tiếp tục đóng một vai trò trọng yếu trong hệ thống truyền động, đặc biệt là trên các phương tiện hybrid, xe thương mại hạng nặng và ở các thị trường đang phát triển trong nhiều thập kỷ tới (Heywood, 2018). Do đó, việc nghiên cứu và phát triển các công nghệ nhằm tối ưu hóa hiệu suất và giảm thiểu phát thải độc hại từ động cơ đốt trong vẫn là một ưu tiên chiến lược hàng đầu của các nhà sản xuất và các viện nghiên cứu.</w:t>
      </w:r>
    </w:p>
    <w:p w:rsidR="00BC23B8" w:rsidRPr="003E4D00" w:rsidRDefault="00BC23B8" w:rsidP="00BC23B8">
      <w:pPr>
        <w:pStyle w:val="ListParagraph"/>
        <w:ind w:firstLine="284"/>
        <w:rPr>
          <w:szCs w:val="21"/>
        </w:rPr>
      </w:pPr>
      <w:r w:rsidRPr="003E4D00">
        <w:rPr>
          <w:szCs w:val="21"/>
        </w:rPr>
        <w:t>Trong số các chất ô nhiễm chính phát sinh từ quá trình cháy, oxit nitơ (NOx) – một thuật ngữ chung bao gồm nitơ monoxit (NO) và nitơ đioxit (NO₂) – được xem là một trong những thành phần độc hại nhất. NOx được hình thành chủ yếu trong điều kiện nhiệt độ và áp suất cực cao của buồng đốt, khi các phân tử nitơ (N₂) và oxy (O₂) trong không khí bị phá vỡ và tái kết hợp (Zeldovich, 1946). Những hợp chất này là tác nhân chính gây ra các vấn đề môi trường nghiêm trọng như mưa axit, hiện tượng sương mù quang hóa, và suy giảm tầng ozone. Đối với sức khỏe con người, việc tiếp xúc lâu dài với NOx có thể dẫn đến các bệnh lý nghiêm trọng về đường hô hấp, bao gồm hen suyễn, viêm phế quản và làm suy giảm chức năng phổi (Tổ chức Y tế Thế giới, 2021).</w:t>
      </w:r>
    </w:p>
    <w:p w:rsidR="00BC23B8" w:rsidRPr="003E4D00" w:rsidRDefault="00BC23B8" w:rsidP="00BC23B8">
      <w:pPr>
        <w:pStyle w:val="ListParagraph"/>
        <w:ind w:firstLine="284"/>
        <w:rPr>
          <w:szCs w:val="21"/>
        </w:rPr>
      </w:pPr>
      <w:r w:rsidRPr="003E4D00">
        <w:rPr>
          <w:szCs w:val="21"/>
        </w:rPr>
        <w:t>Để đối phó với thách thức này, công nghệ Luân hồi Khí xả (Exhaust Gas Recirculation - EGR) đã nổi lên như một trong những giải pháp nội tại (in-cylinder) hiệu quả, kinh tế và được áp dụng rộng rãi nhất. Thay vì xử lý NOx sau khi nó đã được hình thành (như hệ thống SCR), công nghệ EGR trực tiếp can thiệp vào quá trình hình thành NOx bằng cách thay đổi các điều kiện nhiệt động lực học của quá trình cháy.</w:t>
      </w:r>
    </w:p>
    <w:p w:rsidR="00BC23B8" w:rsidRPr="003E4D00" w:rsidRDefault="00BC23B8" w:rsidP="00BC23B8">
      <w:pPr>
        <w:pStyle w:val="ListParagraph"/>
        <w:ind w:firstLine="284"/>
        <w:rPr>
          <w:szCs w:val="21"/>
        </w:rPr>
      </w:pPr>
      <w:r w:rsidRPr="003E4D00">
        <w:rPr>
          <w:szCs w:val="21"/>
        </w:rPr>
        <w:t>Bài báo này sẽ thực hiện một phân tích học thuật toàn diện về hệ thống EGR. Chúng tôi sẽ bắt đầu từ các nguyên lý vật lý và hóa học cơ bản, đi sâu vào các kiến trúc công nghệ đa dạng, khám phá các chiến lược điều khiển và tích hợp hệ thống phức tạp, đồng thời phân tích các nghiên cứu điển hình từ những nhà sản xuất ô tô hàng đầu. Cuối cùng, bài báo sẽ phác thảo các xu hướng đổi mới và tương lai của công nghệ EGR trong bối cảnh ngành ô tô đang thay đổi nhanh chóng.</w:t>
      </w:r>
    </w:p>
    <w:p w:rsidR="00BC23B8" w:rsidRPr="003E4D00" w:rsidRDefault="00BC23B8" w:rsidP="00BC23B8">
      <w:pPr>
        <w:pStyle w:val="ListParagraph"/>
        <w:ind w:left="0" w:firstLine="720"/>
        <w:rPr>
          <w:b/>
          <w:bCs/>
          <w:szCs w:val="21"/>
        </w:rPr>
      </w:pPr>
      <w:r w:rsidRPr="00403D4A">
        <w:rPr>
          <w:b/>
          <w:bCs/>
          <w:szCs w:val="21"/>
        </w:rPr>
        <w:t xml:space="preserve">1.1 </w:t>
      </w:r>
      <w:r w:rsidRPr="003E4D00">
        <w:rPr>
          <w:b/>
          <w:bCs/>
          <w:szCs w:val="21"/>
        </w:rPr>
        <w:t>Nguyên Lý Hoạt Động Cơ Bản Của EGR</w:t>
      </w:r>
    </w:p>
    <w:p w:rsidR="00BC23B8" w:rsidRPr="003E4D00" w:rsidRDefault="00BC23B8" w:rsidP="00BC23B8">
      <w:pPr>
        <w:pStyle w:val="ListParagraph"/>
        <w:ind w:firstLine="284"/>
        <w:rPr>
          <w:szCs w:val="21"/>
        </w:rPr>
      </w:pPr>
      <w:r w:rsidRPr="003E4D00">
        <w:rPr>
          <w:szCs w:val="21"/>
        </w:rPr>
        <w:t>Về cơ bản, EGR là quá trình đưa một phần khí xả quay trở lại buồng đốt để hòa trộn với hỗn hợp không khí-nhiên liệu mới. Mặc dù có vẻ phản trực giác khi đưa khí "bẩn" trở lại động cơ, nhưng hành động này lại mang lại hai lợi ích nhiệt động lực học quan trọng giúp ức chế sự hình thành NOx.</w:t>
      </w:r>
    </w:p>
    <w:p w:rsidR="00BC23B8" w:rsidRPr="003E4D00" w:rsidRDefault="00BC23B8" w:rsidP="00BC23B8">
      <w:pPr>
        <w:pStyle w:val="ListParagraph"/>
        <w:ind w:firstLine="284"/>
        <w:rPr>
          <w:szCs w:val="21"/>
        </w:rPr>
      </w:pPr>
      <w:r w:rsidRPr="003E4D00">
        <w:rPr>
          <w:szCs w:val="21"/>
        </w:rPr>
        <w:t>Giảm Nhiệt Độ Đỉnh Của Chu Trình Cháy: Khí xả luân hồi chủ yếu bao gồm các thành phần trơ như carbon dioxide (CO₂) và hơi nước (H₂O), vốn có nhiệt dung riêng (specific heat capacity) cao hơn đáng kể so với không khí. Khi được đưa vào buồng đốt, các phân tử này hoạt động như một "bộ tản nhiệt", hấp thụ một phần năng lượng nhiệt sinh ra từ quá trình cháy, qua đó làm giảm nhiệt độ đỉnh của chu trình. Vì sự hình thành NOx theo cơ chế Zeldovich phụ thuộc rất lớn vào nhiệt độ (tăng theo hàm mũ), việc giảm nhiệt độ đỉnh dù chỉ một chút cũng có thể làm giảm đáng kể lượng NOx được tạo ra (Turns, 2011).</w:t>
      </w:r>
    </w:p>
    <w:p w:rsidR="00BC23B8" w:rsidRPr="003E4D00" w:rsidRDefault="00BC23B8" w:rsidP="00BC23B8">
      <w:pPr>
        <w:pStyle w:val="ListParagraph"/>
        <w:ind w:firstLine="284"/>
        <w:rPr>
          <w:szCs w:val="21"/>
        </w:rPr>
      </w:pPr>
      <w:r w:rsidRPr="003E4D00">
        <w:rPr>
          <w:b/>
          <w:bCs/>
          <w:szCs w:val="21"/>
        </w:rPr>
        <w:t>Giảm Nồng Độ Oxy:</w:t>
      </w:r>
      <w:r w:rsidRPr="003E4D00">
        <w:rPr>
          <w:szCs w:val="21"/>
        </w:rPr>
        <w:t xml:space="preserve"> Việc đưa khí xả vào sẽ làm loãng hỗn hợp khí nạp, làm giảm nồng độ oxy tổng thể trong buồng đốt. Nồng độ oxy thấp hơn sẽ làm giảm tốc độ phản ứng oxy hóa, bao gồm cả các phản ứng tạo ra NOx. Hiệu ứng này làm chậm quá trình cháy và hạn chế sự sẵn có của các nguyên tử oxy để kết hợp với nitơ ở nhiệt độ cao.</w:t>
      </w:r>
    </w:p>
    <w:p w:rsidR="00BC23B8" w:rsidRPr="003E4D00" w:rsidRDefault="00BC23B8" w:rsidP="00BC23B8">
      <w:pPr>
        <w:pStyle w:val="ListParagraph"/>
        <w:ind w:firstLine="284"/>
        <w:rPr>
          <w:szCs w:val="21"/>
        </w:rPr>
      </w:pPr>
      <w:r w:rsidRPr="003E4D00">
        <w:rPr>
          <w:szCs w:val="21"/>
        </w:rPr>
        <w:t>Sự kết hợp của hai hiệu ứng này tạo ra một môi trường trong buồng đốt ít thuận lợi hơn cho việc hình thành NOx. Tuy nhiên, việc áp dụng EGR cũng đi kèm với những thách thức. Tỷ lệ EGR quá cao có thể dẫn đến quá trình cháy không ổn định, tăng phát thải bồ hóng (soot) và hydrocarbon chưa cháy (HC), đồng thời làm giảm hiệu suất động cơ. Do đó, việc điều khiển chính xác tỷ lệ EGR là yếu tố then chốt để tối đa hóa lợi ích giảm NOx mà không gây ra các tác động tiêu cực khác.</w:t>
      </w:r>
    </w:p>
    <w:p w:rsidR="00BC23B8" w:rsidRPr="003E4D00" w:rsidRDefault="00BC23B8" w:rsidP="00BC23B8">
      <w:pPr>
        <w:pStyle w:val="ListParagraph"/>
        <w:ind w:firstLine="284"/>
        <w:rPr>
          <w:b/>
          <w:bCs/>
          <w:szCs w:val="21"/>
        </w:rPr>
      </w:pPr>
      <w:r w:rsidRPr="003E4D00">
        <w:rPr>
          <w:b/>
          <w:bCs/>
          <w:szCs w:val="21"/>
        </w:rPr>
        <w:t>Các Kiến Trúc Hệ Thống EGR</w:t>
      </w:r>
    </w:p>
    <w:p w:rsidR="00BC23B8" w:rsidRPr="003E4D00" w:rsidRDefault="00BC23B8" w:rsidP="00BC23B8">
      <w:pPr>
        <w:pStyle w:val="ListParagraph"/>
        <w:ind w:firstLine="284"/>
        <w:rPr>
          <w:szCs w:val="21"/>
        </w:rPr>
      </w:pPr>
      <w:r w:rsidRPr="003E4D00">
        <w:rPr>
          <w:szCs w:val="21"/>
        </w:rPr>
        <w:t xml:space="preserve">Để đáp ứng các yêu cầu khác nhau về hiệu suất, phát thải và chi phí, nhiều kiến trúc hệ thống EGR </w:t>
      </w:r>
      <w:r w:rsidRPr="003E4D00">
        <w:rPr>
          <w:szCs w:val="21"/>
        </w:rPr>
        <w:lastRenderedPageBreak/>
        <w:t>đã được phát triển và ứng dụng. Hai loại chính là EGR vòng lặp áp suất cao và EGR vòng lặp áp suất thấp.</w:t>
      </w:r>
    </w:p>
    <w:p w:rsidR="00FC20CF" w:rsidRDefault="00BC23B8" w:rsidP="00BC23B8">
      <w:r w:rsidRPr="003E4D00">
        <w:rPr>
          <w:b/>
          <w:bCs/>
          <w:szCs w:val="21"/>
        </w:rPr>
        <w:t>EGR Vòng Lặp Áp Suất Cao (High-Pressure Loop - HPL EGR):</w:t>
      </w:r>
      <w:r w:rsidRPr="003E4D00">
        <w:rPr>
          <w:szCs w:val="21"/>
        </w:rPr>
        <w:t xml:space="preserve"> Đây là kiến trúc truyền thống và phổ biến nhất. Trong hệ thống này, khí xả được trích ra từ đường ống xả, ngay trước</w:t>
      </w:r>
    </w:p>
    <w:sectPr w:rsidR="00FC20C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52" w:rsidRDefault="00C23B52" w:rsidP="00BC23B8">
      <w:r>
        <w:separator/>
      </w:r>
    </w:p>
  </w:endnote>
  <w:endnote w:type="continuationSeparator" w:id="0">
    <w:p w:rsidR="00C23B52" w:rsidRDefault="00C23B52" w:rsidP="00BC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52" w:rsidRDefault="00C23B52" w:rsidP="00BC23B8">
      <w:r>
        <w:separator/>
      </w:r>
    </w:p>
  </w:footnote>
  <w:footnote w:type="continuationSeparator" w:id="0">
    <w:p w:rsidR="00C23B52" w:rsidRDefault="00C23B52" w:rsidP="00BC23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23B8" w:rsidRDefault="00BC23B8">
    <w:pPr>
      <w:pStyle w:val="Header"/>
    </w:pPr>
  </w:p>
  <w:tbl>
    <w:tblPr>
      <w:tblW w:w="5000" w:type="pct"/>
      <w:tblCellMar>
        <w:top w:w="72" w:type="dxa"/>
        <w:left w:w="115" w:type="dxa"/>
        <w:bottom w:w="72" w:type="dxa"/>
        <w:right w:w="115" w:type="dxa"/>
      </w:tblCellMar>
      <w:tblLook w:val="04A0" w:firstRow="1" w:lastRow="0" w:firstColumn="1" w:lastColumn="0" w:noHBand="0" w:noVBand="1"/>
    </w:tblPr>
    <w:tblGrid>
      <w:gridCol w:w="682"/>
      <w:gridCol w:w="8655"/>
    </w:tblGrid>
    <w:tr w:rsidR="00BC23B8" w:rsidRPr="00B93300" w:rsidTr="0075001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BC23B8" w:rsidRPr="00B93300" w:rsidRDefault="00BC23B8" w:rsidP="00BC23B8">
          <w:pPr>
            <w:tabs>
              <w:tab w:val="center" w:pos="4680"/>
              <w:tab w:val="right" w:pos="9360"/>
            </w:tabs>
            <w:jc w:val="center"/>
            <w:rPr>
              <w:rFonts w:ascii="Arial" w:hAnsi="Arial" w:cs="Arial"/>
              <w:b/>
              <w:w w:val="80"/>
              <w:sz w:val="24"/>
              <w:szCs w:val="24"/>
            </w:rPr>
          </w:pPr>
          <w:r>
            <w:rPr>
              <w:rFonts w:ascii="Arial" w:hAnsi="Arial" w:cs="Arial"/>
              <w:b/>
              <w:color w:val="FFFFFF"/>
              <w:w w:val="80"/>
            </w:rPr>
            <w:t>LTTC</w:t>
          </w:r>
        </w:p>
      </w:tc>
      <w:tc>
        <w:tcPr>
          <w:tcW w:w="4635" w:type="pct"/>
          <w:tcBorders>
            <w:left w:val="single" w:sz="18" w:space="0" w:color="943634"/>
            <w:bottom w:val="single" w:sz="18" w:space="0" w:color="943634"/>
          </w:tcBorders>
          <w:vAlign w:val="bottom"/>
        </w:tcPr>
        <w:p w:rsidR="00BC23B8" w:rsidRPr="00B93300" w:rsidRDefault="00BC23B8" w:rsidP="00BC23B8">
          <w:pPr>
            <w:tabs>
              <w:tab w:val="center" w:pos="4680"/>
              <w:tab w:val="right" w:pos="9360"/>
            </w:tabs>
            <w:rPr>
              <w:rFonts w:ascii="Arial" w:hAnsi="Arial" w:cs="Arial"/>
              <w:w w:val="85"/>
              <w:sz w:val="24"/>
              <w:szCs w:val="24"/>
            </w:rPr>
          </w:pPr>
          <w:r>
            <w:rPr>
              <w:rFonts w:ascii="Arial" w:hAnsi="Arial" w:cs="Arial"/>
              <w:bCs/>
              <w:w w:val="85"/>
              <w:sz w:val="18"/>
              <w:szCs w:val="24"/>
            </w:rPr>
            <w:t>Hội thảo khoa học 2025</w:t>
          </w:r>
        </w:p>
      </w:tc>
    </w:tr>
  </w:tbl>
  <w:p w:rsidR="00BC23B8" w:rsidRDefault="00BC23B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222AFA"/>
    <w:multiLevelType w:val="hybridMultilevel"/>
    <w:tmpl w:val="F4DC6188"/>
    <w:lvl w:ilvl="0" w:tplc="B0DEEA18">
      <w:start w:val="1"/>
      <w:numFmt w:val="decimal"/>
      <w:suff w:val="space"/>
      <w:lvlText w:val="%1."/>
      <w:lvlJc w:val="left"/>
      <w:pPr>
        <w:ind w:left="720" w:hanging="360"/>
      </w:pPr>
      <w:rPr>
        <w:rFonts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3B8"/>
    <w:rsid w:val="00BC23B8"/>
    <w:rsid w:val="00C23B52"/>
    <w:rsid w:val="00FC2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32DDF"/>
  <w15:chartTrackingRefBased/>
  <w15:docId w15:val="{52123DAA-8E4C-43DB-A9C7-CF8AC96C2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BC23B8"/>
    <w:pPr>
      <w:widowControl w:val="0"/>
      <w:autoSpaceDE w:val="0"/>
      <w:autoSpaceDN w:val="0"/>
      <w:spacing w:after="0" w:line="240" w:lineRule="auto"/>
    </w:pPr>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1"/>
    <w:basedOn w:val="Normal"/>
    <w:link w:val="ListParagraphChar"/>
    <w:uiPriority w:val="34"/>
    <w:qFormat/>
    <w:rsid w:val="00BC23B8"/>
    <w:pPr>
      <w:ind w:left="454"/>
      <w:jc w:val="both"/>
    </w:pPr>
  </w:style>
  <w:style w:type="table" w:styleId="TableGrid">
    <w:name w:val="Table Grid"/>
    <w:basedOn w:val="TableNormal"/>
    <w:uiPriority w:val="39"/>
    <w:qFormat/>
    <w:rsid w:val="00BC23B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1 Char"/>
    <w:link w:val="ListParagraph"/>
    <w:uiPriority w:val="34"/>
    <w:locked/>
    <w:rsid w:val="00BC23B8"/>
    <w:rPr>
      <w:rFonts w:ascii="Times New Roman" w:eastAsia="Times New Roman" w:hAnsi="Times New Roman" w:cs="Times New Roman"/>
      <w:lang w:val="vi"/>
    </w:rPr>
  </w:style>
  <w:style w:type="paragraph" w:styleId="Header">
    <w:name w:val="header"/>
    <w:basedOn w:val="Normal"/>
    <w:link w:val="HeaderChar"/>
    <w:uiPriority w:val="99"/>
    <w:unhideWhenUsed/>
    <w:rsid w:val="00BC23B8"/>
    <w:pPr>
      <w:tabs>
        <w:tab w:val="center" w:pos="4680"/>
        <w:tab w:val="right" w:pos="9360"/>
      </w:tabs>
    </w:pPr>
  </w:style>
  <w:style w:type="character" w:customStyle="1" w:styleId="HeaderChar">
    <w:name w:val="Header Char"/>
    <w:basedOn w:val="DefaultParagraphFont"/>
    <w:link w:val="Header"/>
    <w:uiPriority w:val="99"/>
    <w:rsid w:val="00BC23B8"/>
    <w:rPr>
      <w:rFonts w:ascii="Times New Roman" w:eastAsia="Times New Roman" w:hAnsi="Times New Roman" w:cs="Times New Roman"/>
      <w:lang w:val="vi"/>
    </w:rPr>
  </w:style>
  <w:style w:type="paragraph" w:styleId="Footer">
    <w:name w:val="footer"/>
    <w:basedOn w:val="Normal"/>
    <w:link w:val="FooterChar"/>
    <w:uiPriority w:val="99"/>
    <w:unhideWhenUsed/>
    <w:rsid w:val="00BC23B8"/>
    <w:pPr>
      <w:tabs>
        <w:tab w:val="center" w:pos="4680"/>
        <w:tab w:val="right" w:pos="9360"/>
      </w:tabs>
    </w:pPr>
  </w:style>
  <w:style w:type="character" w:customStyle="1" w:styleId="FooterChar">
    <w:name w:val="Footer Char"/>
    <w:basedOn w:val="DefaultParagraphFont"/>
    <w:link w:val="Footer"/>
    <w:uiPriority w:val="99"/>
    <w:rsid w:val="00BC23B8"/>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1145</Words>
  <Characters>6529</Characters>
  <Application>Microsoft Office Word</Application>
  <DocSecurity>0</DocSecurity>
  <Lines>54</Lines>
  <Paragraphs>15</Paragraphs>
  <ScaleCrop>false</ScaleCrop>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cp:revision>
  <dcterms:created xsi:type="dcterms:W3CDTF">2025-09-23T07:17:00Z</dcterms:created>
  <dcterms:modified xsi:type="dcterms:W3CDTF">2025-09-23T07:23:00Z</dcterms:modified>
</cp:coreProperties>
</file>